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3D54" w:rsidRDefault="003A3D54">
      <w:pPr>
        <w:pBdr>
          <w:top w:val="single" w:sz="12" w:space="0" w:color="auto"/>
        </w:pBdr>
        <w:spacing w:after="0"/>
      </w:pPr>
    </w:p>
    <w:p w14:paraId="2664F4B3" w14:textId="582626E7" w:rsidR="003A3D54" w:rsidRDefault="003A3D54">
      <w:pPr>
        <w:pStyle w:val="Heading2"/>
      </w:pPr>
    </w:p>
    <w:p w14:paraId="236198C4" w14:textId="77777777" w:rsidR="003A3D54" w:rsidRDefault="00000000">
      <w:r>
        <w:rPr>
          <w:b/>
          <w:bCs/>
        </w:rPr>
        <w:t>Online Leaders in Care Network – Care Development East</w:t>
      </w:r>
      <w:r>
        <w:br/>
      </w:r>
      <w:r>
        <w:rPr>
          <w:b/>
          <w:bCs/>
        </w:rPr>
        <w:t>21 April 2026 | Online Event</w:t>
      </w:r>
    </w:p>
    <w:p w14:paraId="21E76548" w14:textId="5D382AB3" w:rsidR="003A3D54" w:rsidRDefault="00000000">
      <w:r>
        <w:t xml:space="preserve">Care Development East (CDE) hosted its first </w:t>
      </w:r>
      <w:r>
        <w:rPr>
          <w:b/>
          <w:bCs/>
        </w:rPr>
        <w:t>Online Leaders in Care Network</w:t>
      </w:r>
      <w:r>
        <w:t xml:space="preserve"> event on 21 April 2026, marking a shift from previous in‑person formats to improve accessibility for busy sector leaders. The event brought together over </w:t>
      </w:r>
      <w:r w:rsidR="00933634">
        <w:t>40</w:t>
      </w:r>
      <w:r>
        <w:t xml:space="preserve"> registered attendees from across adult social care, alongside expert speakers, to share insight, best practice and innovation relevant to workforce development, dementia care, rehabilitation, sustainability and system reform.</w:t>
      </w:r>
    </w:p>
    <w:p w14:paraId="33944754" w14:textId="77777777" w:rsidR="003A3D54" w:rsidRDefault="00000000">
      <w:pPr>
        <w:pStyle w:val="Heading3"/>
      </w:pPr>
      <w:r>
        <w:t>Key Themes and Contributions</w:t>
      </w:r>
    </w:p>
    <w:p w14:paraId="0468BDA0" w14:textId="77777777" w:rsidR="003A3D54" w:rsidRDefault="00000000">
      <w:r>
        <w:rPr>
          <w:b/>
          <w:bCs/>
        </w:rPr>
        <w:t>Adult Social Care Workforce Reform and Funding</w:t>
      </w:r>
      <w:r>
        <w:br/>
        <w:t>Helen Jackson (Skills for Care) provided an in‑depth overview of national reform priorities, focusing on:</w:t>
      </w:r>
    </w:p>
    <w:p w14:paraId="031EA1A8" w14:textId="77777777" w:rsidR="003A3D54" w:rsidRDefault="00000000">
      <w:pPr>
        <w:pStyle w:val="ListParagraph"/>
        <w:numPr>
          <w:ilvl w:val="0"/>
          <w:numId w:val="2"/>
        </w:numPr>
      </w:pPr>
      <w:r>
        <w:t xml:space="preserve">The </w:t>
      </w:r>
      <w:r>
        <w:rPr>
          <w:b/>
          <w:bCs/>
        </w:rPr>
        <w:t>Adult Social Care Workforce Data Set (ASC‑WDS)</w:t>
      </w:r>
      <w:r>
        <w:t xml:space="preserve"> and its role in workforce intelligence, planning and access to funding.</w:t>
      </w:r>
    </w:p>
    <w:p w14:paraId="06C51C8E" w14:textId="77777777" w:rsidR="003A3D54" w:rsidRDefault="00000000">
      <w:pPr>
        <w:pStyle w:val="ListParagraph"/>
        <w:numPr>
          <w:ilvl w:val="0"/>
          <w:numId w:val="2"/>
        </w:numPr>
      </w:pPr>
      <w:r>
        <w:t xml:space="preserve">The </w:t>
      </w:r>
      <w:r>
        <w:rPr>
          <w:b/>
          <w:bCs/>
        </w:rPr>
        <w:t>Learning and Development Support Scheme (LDSS)</w:t>
      </w:r>
      <w:r>
        <w:t>, highlighting funded training and qualification opportunities for the non‑regulated workforce, eligibility criteria, and key deadlines.</w:t>
      </w:r>
    </w:p>
    <w:p w14:paraId="3B664C14" w14:textId="77777777" w:rsidR="003A3D54" w:rsidRDefault="00000000">
      <w:pPr>
        <w:pStyle w:val="ListParagraph"/>
        <w:numPr>
          <w:ilvl w:val="0"/>
          <w:numId w:val="2"/>
        </w:numPr>
      </w:pPr>
      <w:r>
        <w:t xml:space="preserve">The </w:t>
      </w:r>
      <w:r>
        <w:rPr>
          <w:b/>
          <w:bCs/>
        </w:rPr>
        <w:t>Care Workforce Pathway</w:t>
      </w:r>
      <w:r>
        <w:t xml:space="preserve">, outlining its purpose as a universal career structure to </w:t>
      </w:r>
      <w:proofErr w:type="spellStart"/>
      <w:r>
        <w:t>professionalise</w:t>
      </w:r>
      <w:proofErr w:type="spellEnd"/>
      <w:r>
        <w:t xml:space="preserve"> roles, </w:t>
      </w:r>
      <w:proofErr w:type="gramStart"/>
      <w:r>
        <w:t>improve</w:t>
      </w:r>
      <w:proofErr w:type="gramEnd"/>
      <w:r>
        <w:t xml:space="preserve"> recruitment and retention, and </w:t>
      </w:r>
      <w:proofErr w:type="gramStart"/>
      <w:r>
        <w:t>support</w:t>
      </w:r>
      <w:proofErr w:type="gramEnd"/>
      <w:r>
        <w:t xml:space="preserve"> quality and consistency of care.</w:t>
      </w:r>
    </w:p>
    <w:p w14:paraId="1D29A0DD" w14:textId="77777777" w:rsidR="003A3D54" w:rsidRDefault="00000000">
      <w:r>
        <w:t xml:space="preserve">The session </w:t>
      </w:r>
      <w:proofErr w:type="spellStart"/>
      <w:r>
        <w:t>emphasised</w:t>
      </w:r>
      <w:proofErr w:type="spellEnd"/>
      <w:r>
        <w:t xml:space="preserve"> that ASC‑WDS completion is critical not only for sector planning but also for unlocking training funding and supporting regulatory and commissioning engagement.</w:t>
      </w:r>
    </w:p>
    <w:p w14:paraId="1D73624D" w14:textId="77777777" w:rsidR="003A3D54" w:rsidRDefault="00000000">
      <w:r>
        <w:rPr>
          <w:b/>
          <w:bCs/>
        </w:rPr>
        <w:t>Understanding Distress in Dementia Care</w:t>
      </w:r>
      <w:r>
        <w:br/>
        <w:t xml:space="preserve">Kate Thubron (Mindful Care) delivered a highly participative session reframing “distress” in dementia as a human neurological response rather than “challenging </w:t>
      </w:r>
      <w:proofErr w:type="spellStart"/>
      <w:r>
        <w:t>behaviour</w:t>
      </w:r>
      <w:proofErr w:type="spellEnd"/>
      <w:r>
        <w:t>”. Using practical demonstrations, Kate explored:</w:t>
      </w:r>
    </w:p>
    <w:p w14:paraId="039A644D" w14:textId="77777777" w:rsidR="003A3D54" w:rsidRDefault="00000000">
      <w:pPr>
        <w:pStyle w:val="ListParagraph"/>
        <w:numPr>
          <w:ilvl w:val="0"/>
          <w:numId w:val="3"/>
        </w:numPr>
      </w:pPr>
      <w:r>
        <w:t xml:space="preserve">How changes to different parts of the brain affect communication, perception, emotional regulation and </w:t>
      </w:r>
      <w:proofErr w:type="spellStart"/>
      <w:r>
        <w:t>behaviour</w:t>
      </w:r>
      <w:proofErr w:type="spellEnd"/>
      <w:r>
        <w:t>.</w:t>
      </w:r>
    </w:p>
    <w:p w14:paraId="0CFAF9AD" w14:textId="77777777" w:rsidR="003A3D54" w:rsidRDefault="00000000">
      <w:pPr>
        <w:pStyle w:val="ListParagraph"/>
        <w:numPr>
          <w:ilvl w:val="0"/>
          <w:numId w:val="3"/>
        </w:numPr>
      </w:pPr>
      <w:r>
        <w:t xml:space="preserve">The importance of proactive, brain‑informed care that </w:t>
      </w:r>
      <w:proofErr w:type="spellStart"/>
      <w:r>
        <w:t>prioritises</w:t>
      </w:r>
      <w:proofErr w:type="spellEnd"/>
      <w:r>
        <w:t xml:space="preserve"> safety, understanding and unmet need.</w:t>
      </w:r>
    </w:p>
    <w:p w14:paraId="33B85F0B" w14:textId="77777777" w:rsidR="003A3D54" w:rsidRDefault="00000000">
      <w:pPr>
        <w:pStyle w:val="ListParagraph"/>
        <w:numPr>
          <w:ilvl w:val="0"/>
          <w:numId w:val="3"/>
        </w:numPr>
      </w:pPr>
      <w:r>
        <w:t>Practical implications for carers, professionals and families in improving day‑to‑day experiences and outcomes.</w:t>
      </w:r>
    </w:p>
    <w:p w14:paraId="28E6F2F4" w14:textId="77777777" w:rsidR="003A3D54" w:rsidRDefault="00000000">
      <w:r>
        <w:lastRenderedPageBreak/>
        <w:t>The session reinforced the value of emotionally intelligent, preventative approaches to dementia support.</w:t>
      </w:r>
    </w:p>
    <w:p w14:paraId="3DB13F31" w14:textId="77777777" w:rsidR="003A3D54" w:rsidRDefault="00000000">
      <w:r>
        <w:rPr>
          <w:b/>
          <w:bCs/>
        </w:rPr>
        <w:t>Innovative Rehabilitation and Digital Care Planning</w:t>
      </w:r>
      <w:r>
        <w:br/>
        <w:t xml:space="preserve">Rebecca Alcock introduced </w:t>
      </w:r>
      <w:r>
        <w:rPr>
          <w:b/>
          <w:bCs/>
        </w:rPr>
        <w:t>California House</w:t>
      </w:r>
      <w:r>
        <w:t>, a new short‑stay physical rehabilitation service developed by Graham Care. Key features included:</w:t>
      </w:r>
    </w:p>
    <w:p w14:paraId="3F81FEA6" w14:textId="77777777" w:rsidR="003A3D54" w:rsidRDefault="00000000">
      <w:pPr>
        <w:pStyle w:val="ListParagraph"/>
        <w:numPr>
          <w:ilvl w:val="0"/>
          <w:numId w:val="4"/>
        </w:numPr>
      </w:pPr>
      <w:r>
        <w:t>A multidisciplinary, whole‑person rehabilitation model focused on restoring functional independence and confidence.</w:t>
      </w:r>
    </w:p>
    <w:p w14:paraId="1F62BB16" w14:textId="77777777" w:rsidR="003A3D54" w:rsidRDefault="00000000">
      <w:pPr>
        <w:pStyle w:val="ListParagraph"/>
        <w:numPr>
          <w:ilvl w:val="0"/>
          <w:numId w:val="4"/>
        </w:numPr>
      </w:pPr>
      <w:r>
        <w:t>Advanced, data‑driven rehabilitation equipment (including anti‑gravity treadmills and smart balance systems).</w:t>
      </w:r>
    </w:p>
    <w:p w14:paraId="24C74D31" w14:textId="77777777" w:rsidR="003A3D54" w:rsidRDefault="00000000">
      <w:pPr>
        <w:pStyle w:val="ListParagraph"/>
        <w:numPr>
          <w:ilvl w:val="0"/>
          <w:numId w:val="4"/>
        </w:numPr>
      </w:pPr>
      <w:r>
        <w:t>An AI‑enabled care planning system integrated with GP Connect, enabling rapid, person‑</w:t>
      </w:r>
      <w:proofErr w:type="spellStart"/>
      <w:r>
        <w:t>centred</w:t>
      </w:r>
      <w:proofErr w:type="spellEnd"/>
      <w:r>
        <w:t xml:space="preserve"> assessments and real‑time care plan updates.</w:t>
      </w:r>
    </w:p>
    <w:p w14:paraId="3F139D3A" w14:textId="77777777" w:rsidR="003A3D54" w:rsidRDefault="00000000">
      <w:r>
        <w:t>The model demonstrated how innovation can support hospital discharge, reduce system pressure and improve individual outcomes.</w:t>
      </w:r>
    </w:p>
    <w:p w14:paraId="0FBF2F7F" w14:textId="77777777" w:rsidR="003A3D54" w:rsidRDefault="00000000">
      <w:r>
        <w:rPr>
          <w:b/>
          <w:bCs/>
        </w:rPr>
        <w:t>Sustainability and Cost Reduction</w:t>
      </w:r>
      <w:r>
        <w:br/>
        <w:t xml:space="preserve">Michelle Tomkins (CDE) outlined new </w:t>
      </w:r>
      <w:r>
        <w:rPr>
          <w:b/>
          <w:bCs/>
        </w:rPr>
        <w:t>Carbon Smart</w:t>
      </w:r>
      <w:r>
        <w:t xml:space="preserve"> training opportunities, designed to help care providers:</w:t>
      </w:r>
    </w:p>
    <w:p w14:paraId="4F0F7720" w14:textId="77777777" w:rsidR="003A3D54" w:rsidRDefault="00000000">
      <w:pPr>
        <w:pStyle w:val="ListParagraph"/>
        <w:numPr>
          <w:ilvl w:val="0"/>
          <w:numId w:val="5"/>
        </w:numPr>
      </w:pPr>
      <w:r>
        <w:t>Reduce carbon emissions while achieving measurable cost savings.</w:t>
      </w:r>
    </w:p>
    <w:p w14:paraId="362DBC5F" w14:textId="77777777" w:rsidR="003A3D54" w:rsidRDefault="00000000">
      <w:pPr>
        <w:pStyle w:val="ListParagraph"/>
        <w:numPr>
          <w:ilvl w:val="0"/>
          <w:numId w:val="5"/>
        </w:numPr>
      </w:pPr>
      <w:r>
        <w:t>Implement practical, low‑cost changes in energy use, food provision and travel.</w:t>
      </w:r>
    </w:p>
    <w:p w14:paraId="1B0FC416" w14:textId="77777777" w:rsidR="003A3D54" w:rsidRDefault="00000000">
      <w:pPr>
        <w:pStyle w:val="ListParagraph"/>
        <w:numPr>
          <w:ilvl w:val="0"/>
          <w:numId w:val="5"/>
        </w:numPr>
      </w:pPr>
      <w:r>
        <w:t>Prepare for increasing sustainability expectations from commissioners and regulators.</w:t>
      </w:r>
    </w:p>
    <w:p w14:paraId="3D0AA375" w14:textId="77777777" w:rsidR="003A3D54" w:rsidRDefault="00000000">
      <w:r>
        <w:t xml:space="preserve">The forthcoming </w:t>
      </w:r>
      <w:r>
        <w:rPr>
          <w:b/>
          <w:bCs/>
        </w:rPr>
        <w:t>Carbon Literacy accreditation for social care</w:t>
      </w:r>
      <w:r>
        <w:t xml:space="preserve"> was highlighted as a strategic opportunity for </w:t>
      </w:r>
      <w:proofErr w:type="spellStart"/>
      <w:r>
        <w:t>organisations</w:t>
      </w:r>
      <w:proofErr w:type="spellEnd"/>
      <w:r>
        <w:t>.</w:t>
      </w:r>
    </w:p>
    <w:p w14:paraId="1547842F" w14:textId="77777777" w:rsidR="003A3D54" w:rsidRDefault="00000000">
      <w:r>
        <w:rPr>
          <w:b/>
          <w:bCs/>
        </w:rPr>
        <w:t>Dementia Marketplace 2026</w:t>
      </w:r>
      <w:r>
        <w:br/>
        <w:t xml:space="preserve">CDE promoted its upcoming </w:t>
      </w:r>
      <w:r>
        <w:rPr>
          <w:b/>
          <w:bCs/>
        </w:rPr>
        <w:t>Dementia Marketplace (24 June 2026, Ipswich)</w:t>
      </w:r>
      <w:r>
        <w:t xml:space="preserve">—a free, community‑focused event bringing together support </w:t>
      </w:r>
      <w:proofErr w:type="spellStart"/>
      <w:r>
        <w:t>organisations</w:t>
      </w:r>
      <w:proofErr w:type="spellEnd"/>
      <w:r>
        <w:t>, professionals and families, reinforced by interactive experiences and lived‑experience insight.</w:t>
      </w:r>
    </w:p>
    <w:p w14:paraId="743AE3D6" w14:textId="77777777" w:rsidR="003A3D54" w:rsidRDefault="00000000">
      <w:pPr>
        <w:pStyle w:val="Heading3"/>
      </w:pPr>
      <w:r>
        <w:t>Overall Impact</w:t>
      </w:r>
    </w:p>
    <w:p w14:paraId="2E08DF51" w14:textId="77777777" w:rsidR="003A3D54" w:rsidRDefault="00000000">
      <w:r>
        <w:t>The event successfully:</w:t>
      </w:r>
    </w:p>
    <w:p w14:paraId="415E3E4A" w14:textId="77777777" w:rsidR="003A3D54" w:rsidRDefault="00000000">
      <w:pPr>
        <w:pStyle w:val="ListParagraph"/>
        <w:numPr>
          <w:ilvl w:val="0"/>
          <w:numId w:val="6"/>
        </w:numPr>
      </w:pPr>
      <w:r>
        <w:t>Demonstrated the value of accessible, online sector leadership spaces.</w:t>
      </w:r>
    </w:p>
    <w:p w14:paraId="6980DCD9" w14:textId="77777777" w:rsidR="003A3D54" w:rsidRDefault="00000000">
      <w:pPr>
        <w:pStyle w:val="ListParagraph"/>
        <w:numPr>
          <w:ilvl w:val="0"/>
          <w:numId w:val="6"/>
        </w:numPr>
      </w:pPr>
      <w:r>
        <w:t>Connected national policy and funding opportunities with frontline practice.</w:t>
      </w:r>
    </w:p>
    <w:p w14:paraId="07571A8A" w14:textId="77777777" w:rsidR="003A3D54" w:rsidRDefault="00000000">
      <w:pPr>
        <w:pStyle w:val="ListParagraph"/>
        <w:numPr>
          <w:ilvl w:val="0"/>
          <w:numId w:val="6"/>
        </w:numPr>
      </w:pPr>
      <w:r>
        <w:t>Showcased innovation, collaboration and preventative approaches in adult social care.</w:t>
      </w:r>
    </w:p>
    <w:p w14:paraId="11680DCE" w14:textId="77777777" w:rsidR="003A3D54" w:rsidRDefault="00000000">
      <w:pPr>
        <w:pStyle w:val="ListParagraph"/>
        <w:numPr>
          <w:ilvl w:val="0"/>
          <w:numId w:val="6"/>
        </w:numPr>
      </w:pPr>
      <w:r>
        <w:t xml:space="preserve">Reinforced CDE’s role as a convenor, advocate and practical support </w:t>
      </w:r>
      <w:proofErr w:type="spellStart"/>
      <w:r>
        <w:t>organisation</w:t>
      </w:r>
      <w:proofErr w:type="spellEnd"/>
      <w:r>
        <w:t xml:space="preserve"> for the sector.</w:t>
      </w:r>
    </w:p>
    <w:p w14:paraId="37B0C5D8" w14:textId="77777777" w:rsidR="003A3D54" w:rsidRDefault="00000000">
      <w:r>
        <w:lastRenderedPageBreak/>
        <w:t>Resources, slides and recordings are to be shared via the CDE website to support wider dissemination and continued engagement.</w:t>
      </w:r>
    </w:p>
    <w:p w14:paraId="0A37501D" w14:textId="77777777" w:rsidR="003A3D54" w:rsidRDefault="003A3D54">
      <w:pPr>
        <w:pBdr>
          <w:top w:val="single" w:sz="12" w:space="0" w:color="auto"/>
        </w:pBdr>
        <w:spacing w:after="0"/>
      </w:pPr>
    </w:p>
    <w:p w14:paraId="2329F3C2" w14:textId="25BBA5E5" w:rsidR="003A3D54" w:rsidRDefault="003A3D54" w:rsidP="77BCC904">
      <w:pPr>
        <w:pStyle w:val="ListParagraph"/>
      </w:pPr>
    </w:p>
    <w:sectPr w:rsidR="003A3D5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5BA1"/>
    <w:multiLevelType w:val="hybridMultilevel"/>
    <w:tmpl w:val="C6DEDE34"/>
    <w:lvl w:ilvl="0" w:tplc="1D4A1F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1EA1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AC0D74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B6C89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21460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3E7C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A263A9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CAC4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F3AEDB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67362FE"/>
    <w:multiLevelType w:val="hybridMultilevel"/>
    <w:tmpl w:val="8D186856"/>
    <w:lvl w:ilvl="0" w:tplc="2A52108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368EF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826D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12036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6A62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B416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C65E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3EEA9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58EBF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206E97"/>
    <w:multiLevelType w:val="hybridMultilevel"/>
    <w:tmpl w:val="255EE8C4"/>
    <w:lvl w:ilvl="0" w:tplc="66147C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F2E4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8C6C11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DEAE76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D4279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F0DC7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8C02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D7057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642DA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379ADBE"/>
    <w:multiLevelType w:val="hybridMultilevel"/>
    <w:tmpl w:val="F7C839D2"/>
    <w:lvl w:ilvl="0" w:tplc="8C60B39A">
      <w:start w:val="1"/>
      <w:numFmt w:val="bullet"/>
      <w:lvlText w:val="●"/>
      <w:lvlJc w:val="left"/>
      <w:pPr>
        <w:ind w:left="720" w:hanging="360"/>
      </w:pPr>
    </w:lvl>
    <w:lvl w:ilvl="1" w:tplc="CE4A6394">
      <w:start w:val="1"/>
      <w:numFmt w:val="bullet"/>
      <w:lvlText w:val="○"/>
      <w:lvlJc w:val="left"/>
      <w:pPr>
        <w:ind w:left="1440" w:hanging="360"/>
      </w:pPr>
    </w:lvl>
    <w:lvl w:ilvl="2" w:tplc="7F9A9D8A">
      <w:start w:val="1"/>
      <w:numFmt w:val="bullet"/>
      <w:lvlText w:val="■"/>
      <w:lvlJc w:val="left"/>
      <w:pPr>
        <w:ind w:left="2160" w:hanging="360"/>
      </w:pPr>
    </w:lvl>
    <w:lvl w:ilvl="3" w:tplc="58041A9E">
      <w:start w:val="1"/>
      <w:numFmt w:val="bullet"/>
      <w:lvlText w:val="●"/>
      <w:lvlJc w:val="left"/>
      <w:pPr>
        <w:ind w:left="2880" w:hanging="360"/>
      </w:pPr>
    </w:lvl>
    <w:lvl w:ilvl="4" w:tplc="A9243F66">
      <w:start w:val="1"/>
      <w:numFmt w:val="bullet"/>
      <w:lvlText w:val="○"/>
      <w:lvlJc w:val="left"/>
      <w:pPr>
        <w:ind w:left="3600" w:hanging="360"/>
      </w:pPr>
    </w:lvl>
    <w:lvl w:ilvl="5" w:tplc="96B077EC">
      <w:start w:val="1"/>
      <w:numFmt w:val="bullet"/>
      <w:lvlText w:val="■"/>
      <w:lvlJc w:val="left"/>
      <w:pPr>
        <w:ind w:left="4320" w:hanging="360"/>
      </w:pPr>
    </w:lvl>
    <w:lvl w:ilvl="6" w:tplc="F6FCB65A">
      <w:start w:val="1"/>
      <w:numFmt w:val="bullet"/>
      <w:lvlText w:val="●"/>
      <w:lvlJc w:val="left"/>
      <w:pPr>
        <w:ind w:left="5040" w:hanging="360"/>
      </w:pPr>
    </w:lvl>
    <w:lvl w:ilvl="7" w:tplc="249CC4AE">
      <w:start w:val="1"/>
      <w:numFmt w:val="bullet"/>
      <w:lvlText w:val="●"/>
      <w:lvlJc w:val="left"/>
      <w:pPr>
        <w:ind w:left="5760" w:hanging="360"/>
      </w:pPr>
    </w:lvl>
    <w:lvl w:ilvl="8" w:tplc="F4642F5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453BB87"/>
    <w:multiLevelType w:val="hybridMultilevel"/>
    <w:tmpl w:val="3B103F86"/>
    <w:lvl w:ilvl="0" w:tplc="489041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36A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9073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8AA8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61A4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2CDB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48F7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736C2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E25F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54EAFD8"/>
    <w:multiLevelType w:val="hybridMultilevel"/>
    <w:tmpl w:val="3BE063D8"/>
    <w:lvl w:ilvl="0" w:tplc="AE22D9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77008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88AE7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69CB3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EA813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38F95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5048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2CC1E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3A89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A6C894E"/>
    <w:multiLevelType w:val="hybridMultilevel"/>
    <w:tmpl w:val="41AE3AEA"/>
    <w:lvl w:ilvl="0" w:tplc="86CA82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B9E07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5EB77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DEEB5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6B60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99CD31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4A6E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63451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702C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0592389">
    <w:abstractNumId w:val="3"/>
    <w:lvlOverride w:ilvl="0">
      <w:startOverride w:val="1"/>
    </w:lvlOverride>
  </w:num>
  <w:num w:numId="2" w16cid:durableId="1607075904">
    <w:abstractNumId w:val="4"/>
  </w:num>
  <w:num w:numId="3" w16cid:durableId="140271517">
    <w:abstractNumId w:val="0"/>
  </w:num>
  <w:num w:numId="4" w16cid:durableId="870606448">
    <w:abstractNumId w:val="1"/>
  </w:num>
  <w:num w:numId="5" w16cid:durableId="1461724176">
    <w:abstractNumId w:val="2"/>
  </w:num>
  <w:num w:numId="6" w16cid:durableId="1763407329">
    <w:abstractNumId w:val="6"/>
  </w:num>
  <w:num w:numId="7" w16cid:durableId="26951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CC904"/>
    <w:rsid w:val="001E2E88"/>
    <w:rsid w:val="003A3D54"/>
    <w:rsid w:val="003D40FD"/>
    <w:rsid w:val="00933634"/>
    <w:rsid w:val="00AE6A8D"/>
    <w:rsid w:val="77BC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7145"/>
  <w15:docId w15:val="{AC56434C-BEAC-4754-BC94-DF3E982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3320</Characters>
  <Application>Microsoft Office Word</Application>
  <DocSecurity>0</DocSecurity>
  <Lines>92</Lines>
  <Paragraphs>16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Kelly McGauley</cp:lastModifiedBy>
  <cp:revision>2</cp:revision>
  <dcterms:created xsi:type="dcterms:W3CDTF">2026-04-21T13:00:00Z</dcterms:created>
  <dcterms:modified xsi:type="dcterms:W3CDTF">2026-04-21T13:00:00Z</dcterms:modified>
</cp:coreProperties>
</file>