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7E7CD" w14:textId="77777777" w:rsidR="008B13DE" w:rsidRDefault="008B13DE" w:rsidP="008B13DE">
      <w:pPr>
        <w:spacing w:before="100" w:beforeAutospacing="1" w:after="100" w:afterAutospacing="1"/>
        <w:rPr>
          <w:b/>
          <w:bCs/>
          <w:sz w:val="36"/>
          <w:szCs w:val="36"/>
          <w:lang w:eastAsia="en-GB"/>
          <w14:ligatures w14:val="none"/>
        </w:rPr>
      </w:pPr>
      <w:r>
        <w:rPr>
          <w:b/>
          <w:bCs/>
          <w:sz w:val="36"/>
          <w:szCs w:val="36"/>
          <w:lang w:eastAsia="en-GB"/>
          <w14:ligatures w14:val="none"/>
        </w:rPr>
        <w:t>Choosing Digital with Confidence – with the Right Support Around You</w:t>
      </w:r>
    </w:p>
    <w:p w14:paraId="28247EE3" w14:textId="77777777" w:rsidR="008B13DE" w:rsidRDefault="008B13DE" w:rsidP="008B13DE">
      <w:pPr>
        <w:spacing w:before="100" w:beforeAutospacing="1" w:after="100" w:afterAutospacing="1"/>
        <w:rPr>
          <w:sz w:val="24"/>
          <w:szCs w:val="24"/>
          <w:lang w:eastAsia="en-GB"/>
          <w14:ligatures w14:val="none"/>
        </w:rPr>
      </w:pPr>
      <w:r>
        <w:rPr>
          <w:sz w:val="24"/>
          <w:szCs w:val="24"/>
          <w:lang w:eastAsia="en-GB"/>
          <w14:ligatures w14:val="none"/>
        </w:rPr>
        <w:t>Care providers across Suffolk and North East Essex are at different points in their digital journey.</w:t>
      </w:r>
    </w:p>
    <w:p w14:paraId="1B249505" w14:textId="77777777" w:rsidR="008B13DE" w:rsidRDefault="008B13DE" w:rsidP="008B13DE">
      <w:pPr>
        <w:spacing w:before="100" w:beforeAutospacing="1" w:after="100" w:afterAutospacing="1"/>
        <w:rPr>
          <w:sz w:val="24"/>
          <w:szCs w:val="24"/>
          <w:lang w:eastAsia="en-GB"/>
          <w14:ligatures w14:val="none"/>
        </w:rPr>
      </w:pPr>
      <w:r>
        <w:rPr>
          <w:sz w:val="24"/>
          <w:szCs w:val="24"/>
          <w:lang w:eastAsia="en-GB"/>
          <w14:ligatures w14:val="none"/>
        </w:rPr>
        <w:t>Some are already using digital systems and feel confident in them.</w:t>
      </w:r>
      <w:r>
        <w:rPr>
          <w:sz w:val="24"/>
          <w:szCs w:val="24"/>
          <w:lang w:eastAsia="en-GB"/>
          <w14:ligatures w14:val="none"/>
        </w:rPr>
        <w:br/>
        <w:t>Some are digital and starting to think about what comes next.</w:t>
      </w:r>
      <w:r>
        <w:rPr>
          <w:sz w:val="24"/>
          <w:szCs w:val="24"/>
          <w:lang w:eastAsia="en-GB"/>
          <w14:ligatures w14:val="none"/>
        </w:rPr>
        <w:br/>
        <w:t>Others are exploring options for the first time.</w:t>
      </w:r>
    </w:p>
    <w:p w14:paraId="6575B063" w14:textId="77777777" w:rsidR="008B13DE" w:rsidRDefault="008B13DE" w:rsidP="008B13DE">
      <w:pPr>
        <w:spacing w:before="100" w:beforeAutospacing="1" w:after="100" w:afterAutospacing="1"/>
        <w:rPr>
          <w:sz w:val="24"/>
          <w:szCs w:val="24"/>
          <w:lang w:eastAsia="en-GB"/>
          <w14:ligatures w14:val="none"/>
        </w:rPr>
      </w:pPr>
      <w:r>
        <w:rPr>
          <w:sz w:val="24"/>
          <w:szCs w:val="24"/>
          <w:lang w:eastAsia="en-GB"/>
          <w14:ligatures w14:val="none"/>
        </w:rPr>
        <w:t xml:space="preserve">Wherever you are, one thing remains the same: </w:t>
      </w:r>
      <w:r>
        <w:rPr>
          <w:b/>
          <w:bCs/>
          <w:sz w:val="24"/>
          <w:szCs w:val="24"/>
          <w:lang w:eastAsia="en-GB"/>
          <w14:ligatures w14:val="none"/>
        </w:rPr>
        <w:t>the best digital choices are the ones made with confidence, clarity and the right support around you</w:t>
      </w:r>
      <w:r>
        <w:rPr>
          <w:sz w:val="24"/>
          <w:szCs w:val="24"/>
          <w:lang w:eastAsia="en-GB"/>
          <w14:ligatures w14:val="none"/>
        </w:rPr>
        <w:t>.</w:t>
      </w:r>
    </w:p>
    <w:p w14:paraId="6EFCC26B" w14:textId="0DE3852A" w:rsidR="008B13DE" w:rsidRDefault="008B13DE" w:rsidP="008B13DE">
      <w:pPr>
        <w:spacing w:before="100" w:beforeAutospacing="1" w:after="100" w:afterAutospacing="1"/>
        <w:rPr>
          <w:sz w:val="24"/>
          <w:szCs w:val="24"/>
          <w:lang w:eastAsia="en-GB"/>
          <w14:ligatures w14:val="none"/>
        </w:rPr>
      </w:pPr>
      <w:r>
        <w:rPr>
          <w:sz w:val="24"/>
          <w:szCs w:val="24"/>
          <w:lang w:eastAsia="en-GB"/>
          <w14:ligatures w14:val="none"/>
        </w:rPr>
        <w:t xml:space="preserve">That’s why NHS and local authority partners, working alongside organisations such as </w:t>
      </w:r>
      <w:r>
        <w:rPr>
          <w:sz w:val="24"/>
          <w:szCs w:val="24"/>
          <w:lang w:eastAsia="en-GB"/>
          <w14:ligatures w14:val="none"/>
        </w:rPr>
        <w:t xml:space="preserve">Suffolk Care Association, </w:t>
      </w:r>
      <w:r>
        <w:rPr>
          <w:sz w:val="24"/>
          <w:szCs w:val="24"/>
          <w:lang w:eastAsia="en-GB"/>
          <w14:ligatures w14:val="none"/>
        </w:rPr>
        <w:t xml:space="preserve">Care Development East and Suffolk County Council, Essex County Council and HCPA encourage care providers to use the </w:t>
      </w:r>
      <w:hyperlink r:id="rId5" w:history="1">
        <w:r w:rsidRPr="008B13DE">
          <w:rPr>
            <w:rStyle w:val="Hyperlink"/>
            <w:b/>
            <w:bCs/>
            <w:sz w:val="24"/>
            <w:szCs w:val="24"/>
            <w:lang w:eastAsia="en-GB"/>
            <w14:ligatures w14:val="none"/>
          </w:rPr>
          <w:t>NHS England assured supplier pathway</w:t>
        </w:r>
      </w:hyperlink>
      <w:r>
        <w:rPr>
          <w:sz w:val="24"/>
          <w:szCs w:val="24"/>
          <w:lang w:eastAsia="en-GB"/>
          <w14:ligatures w14:val="none"/>
        </w:rPr>
        <w:t xml:space="preserve"> when considering digital systems.</w:t>
      </w:r>
    </w:p>
    <w:p w14:paraId="71BB77C2" w14:textId="77777777" w:rsidR="008B13DE" w:rsidRDefault="008B13DE" w:rsidP="008B13DE">
      <w:pPr>
        <w:spacing w:before="100" w:beforeAutospacing="1" w:after="100" w:afterAutospacing="1"/>
        <w:rPr>
          <w:sz w:val="24"/>
          <w:szCs w:val="24"/>
          <w:lang w:eastAsia="en-GB"/>
          <w14:ligatures w14:val="none"/>
        </w:rPr>
      </w:pPr>
      <w:r>
        <w:rPr>
          <w:sz w:val="24"/>
          <w:szCs w:val="24"/>
          <w:lang w:eastAsia="en-GB"/>
          <w14:ligatures w14:val="none"/>
        </w:rPr>
        <w:t>This approach isn’t about limiting choice. It’s about helping providers make informed decisions that are safe, sustainable and right for their service.</w:t>
      </w:r>
    </w:p>
    <w:p w14:paraId="3FEE351A" w14:textId="77777777" w:rsidR="008B13DE" w:rsidRDefault="008B13DE" w:rsidP="008B13DE">
      <w:pPr>
        <w:jc w:val="center"/>
        <w:rPr>
          <w:rFonts w:eastAsia="Times New Roman"/>
          <w:sz w:val="24"/>
          <w:szCs w:val="24"/>
          <w:lang w:eastAsia="en-GB"/>
          <w14:ligatures w14:val="none"/>
        </w:rPr>
      </w:pPr>
      <w:r>
        <w:rPr>
          <w:rFonts w:eastAsia="Times New Roman"/>
          <w:sz w:val="24"/>
          <w:szCs w:val="24"/>
          <w:lang w:eastAsia="en-GB"/>
          <w14:ligatures w14:val="none"/>
        </w:rPr>
        <w:pict w14:anchorId="7E43FBC6">
          <v:rect id="_x0000_i1025" style="width:468pt;height:1.2pt" o:hralign="center" o:hrstd="t" o:hr="t" fillcolor="#a0a0a0" stroked="f"/>
        </w:pict>
      </w:r>
    </w:p>
    <w:p w14:paraId="30780861" w14:textId="77777777" w:rsidR="008B13DE" w:rsidRDefault="008B13DE" w:rsidP="008B13DE">
      <w:pPr>
        <w:spacing w:before="100" w:beforeAutospacing="1" w:after="100" w:afterAutospacing="1"/>
        <w:rPr>
          <w:b/>
          <w:bCs/>
          <w:sz w:val="27"/>
          <w:szCs w:val="27"/>
          <w:lang w:eastAsia="en-GB"/>
          <w14:ligatures w14:val="none"/>
        </w:rPr>
      </w:pPr>
      <w:r>
        <w:rPr>
          <w:b/>
          <w:bCs/>
          <w:sz w:val="27"/>
          <w:szCs w:val="27"/>
          <w:lang w:eastAsia="en-GB"/>
          <w14:ligatures w14:val="none"/>
        </w:rPr>
        <w:t>What choosing an assured supplier gives you</w:t>
      </w:r>
    </w:p>
    <w:p w14:paraId="07E6343A" w14:textId="7417E5E2" w:rsidR="008B13DE" w:rsidRDefault="008B13DE" w:rsidP="008B13DE">
      <w:pPr>
        <w:spacing w:before="100" w:beforeAutospacing="1" w:after="100" w:afterAutospacing="1"/>
        <w:rPr>
          <w:sz w:val="24"/>
          <w:szCs w:val="24"/>
          <w:lang w:eastAsia="en-GB"/>
          <w14:ligatures w14:val="none"/>
        </w:rPr>
      </w:pPr>
      <w:r>
        <w:rPr>
          <w:sz w:val="24"/>
          <w:szCs w:val="24"/>
          <w:lang w:eastAsia="en-GB"/>
          <w14:ligatures w14:val="none"/>
        </w:rPr>
        <w:t xml:space="preserve">Suppliers on the </w:t>
      </w:r>
      <w:hyperlink r:id="rId6" w:history="1">
        <w:r w:rsidRPr="008B13DE">
          <w:rPr>
            <w:rStyle w:val="Hyperlink"/>
            <w:sz w:val="24"/>
            <w:szCs w:val="24"/>
            <w:lang w:eastAsia="en-GB"/>
            <w14:ligatures w14:val="none"/>
          </w:rPr>
          <w:t>NHS England assured list</w:t>
        </w:r>
      </w:hyperlink>
      <w:r>
        <w:rPr>
          <w:sz w:val="24"/>
          <w:szCs w:val="24"/>
          <w:lang w:eastAsia="en-GB"/>
          <w14:ligatures w14:val="none"/>
        </w:rPr>
        <w:t xml:space="preserve"> have met national standards around data protection, safety, reliability and support. These standards are reviewed and updated regularly to reflect evolving guidance and expectations in health and social care.</w:t>
      </w:r>
    </w:p>
    <w:p w14:paraId="256E5762" w14:textId="77777777" w:rsidR="008B13DE" w:rsidRDefault="008B13DE" w:rsidP="008B13DE">
      <w:pPr>
        <w:spacing w:before="100" w:beforeAutospacing="1" w:after="100" w:afterAutospacing="1"/>
        <w:rPr>
          <w:sz w:val="24"/>
          <w:szCs w:val="24"/>
          <w:lang w:eastAsia="en-GB"/>
          <w14:ligatures w14:val="none"/>
        </w:rPr>
      </w:pPr>
      <w:r>
        <w:rPr>
          <w:sz w:val="24"/>
          <w:szCs w:val="24"/>
          <w:lang w:eastAsia="en-GB"/>
          <w14:ligatures w14:val="none"/>
        </w:rPr>
        <w:t xml:space="preserve">Choosing an assured supplier also means working within a </w:t>
      </w:r>
      <w:r>
        <w:rPr>
          <w:b/>
          <w:bCs/>
          <w:sz w:val="24"/>
          <w:szCs w:val="24"/>
          <w:lang w:eastAsia="en-GB"/>
          <w14:ligatures w14:val="none"/>
        </w:rPr>
        <w:t>recognised system pathway</w:t>
      </w:r>
      <w:r>
        <w:rPr>
          <w:sz w:val="24"/>
          <w:szCs w:val="24"/>
          <w:lang w:eastAsia="en-GB"/>
          <w14:ligatures w14:val="none"/>
        </w:rPr>
        <w:t>, designed to help providers avoid navigating decisions in isolation.</w:t>
      </w:r>
    </w:p>
    <w:p w14:paraId="151B1AED" w14:textId="77777777" w:rsidR="008B13DE" w:rsidRDefault="008B13DE" w:rsidP="008B13DE">
      <w:pPr>
        <w:spacing w:before="100" w:beforeAutospacing="1" w:after="100" w:afterAutospacing="1"/>
        <w:rPr>
          <w:sz w:val="24"/>
          <w:szCs w:val="24"/>
          <w:lang w:eastAsia="en-GB"/>
          <w14:ligatures w14:val="none"/>
        </w:rPr>
      </w:pPr>
      <w:r>
        <w:rPr>
          <w:sz w:val="24"/>
          <w:szCs w:val="24"/>
          <w:lang w:eastAsia="en-GB"/>
          <w14:ligatures w14:val="none"/>
        </w:rPr>
        <w:t>This pathway offers:</w:t>
      </w:r>
    </w:p>
    <w:p w14:paraId="4BE4C526" w14:textId="77777777" w:rsidR="008B13DE" w:rsidRDefault="008B13DE" w:rsidP="008B13DE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4"/>
          <w:szCs w:val="24"/>
          <w:lang w:eastAsia="en-GB"/>
          <w14:ligatures w14:val="none"/>
        </w:rPr>
      </w:pPr>
      <w:r>
        <w:rPr>
          <w:rFonts w:eastAsia="Times New Roman"/>
          <w:b/>
          <w:bCs/>
          <w:sz w:val="24"/>
          <w:szCs w:val="24"/>
          <w:lang w:eastAsia="en-GB"/>
          <w14:ligatures w14:val="none"/>
        </w:rPr>
        <w:t>Confidence and reassurance</w:t>
      </w:r>
      <w:r>
        <w:rPr>
          <w:rFonts w:eastAsia="Times New Roman"/>
          <w:sz w:val="24"/>
          <w:szCs w:val="24"/>
          <w:lang w:eastAsia="en-GB"/>
          <w14:ligatures w14:val="none"/>
        </w:rPr>
        <w:br/>
        <w:t>Assurance that systems have already been assessed against nationally agreed standards, reducing the need for providers to carry out their own extensive due diligence.</w:t>
      </w:r>
    </w:p>
    <w:p w14:paraId="226C0E7C" w14:textId="77777777" w:rsidR="008B13DE" w:rsidRDefault="008B13DE" w:rsidP="008B13DE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4"/>
          <w:szCs w:val="24"/>
          <w:lang w:eastAsia="en-GB"/>
          <w14:ligatures w14:val="none"/>
        </w:rPr>
      </w:pPr>
      <w:r>
        <w:rPr>
          <w:rFonts w:eastAsia="Times New Roman"/>
          <w:b/>
          <w:bCs/>
          <w:sz w:val="24"/>
          <w:szCs w:val="24"/>
          <w:lang w:eastAsia="en-GB"/>
          <w14:ligatures w14:val="none"/>
        </w:rPr>
        <w:t>Clear guidance and signposting</w:t>
      </w:r>
      <w:r>
        <w:rPr>
          <w:rFonts w:eastAsia="Times New Roman"/>
          <w:sz w:val="24"/>
          <w:szCs w:val="24"/>
          <w:lang w:eastAsia="en-GB"/>
          <w14:ligatures w14:val="none"/>
        </w:rPr>
        <w:br/>
        <w:t>Access to trusted information and routes to help you understand options, considerations and next steps before decisions are made.</w:t>
      </w:r>
    </w:p>
    <w:p w14:paraId="2674700F" w14:textId="77777777" w:rsidR="008B13DE" w:rsidRDefault="008B13DE" w:rsidP="008B13DE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4"/>
          <w:szCs w:val="24"/>
          <w:lang w:eastAsia="en-GB"/>
          <w14:ligatures w14:val="none"/>
        </w:rPr>
      </w:pPr>
      <w:r>
        <w:rPr>
          <w:rFonts w:eastAsia="Times New Roman"/>
          <w:b/>
          <w:bCs/>
          <w:sz w:val="24"/>
          <w:szCs w:val="24"/>
          <w:lang w:eastAsia="en-GB"/>
          <w14:ligatures w14:val="none"/>
        </w:rPr>
        <w:t>Opportunities for conversation</w:t>
      </w:r>
      <w:r>
        <w:rPr>
          <w:rFonts w:eastAsia="Times New Roman"/>
          <w:sz w:val="24"/>
          <w:szCs w:val="24"/>
          <w:lang w:eastAsia="en-GB"/>
          <w14:ligatures w14:val="none"/>
        </w:rPr>
        <w:br/>
        <w:t>Space to talk through ideas, ask questions and sense-check approaches with people who understand care services and the wider system context.</w:t>
      </w:r>
    </w:p>
    <w:p w14:paraId="5BFBAE17" w14:textId="77777777" w:rsidR="008B13DE" w:rsidRDefault="008B13DE" w:rsidP="008B13DE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4"/>
          <w:szCs w:val="24"/>
          <w:lang w:eastAsia="en-GB"/>
          <w14:ligatures w14:val="none"/>
        </w:rPr>
      </w:pPr>
      <w:r>
        <w:rPr>
          <w:rFonts w:eastAsia="Times New Roman"/>
          <w:b/>
          <w:bCs/>
          <w:sz w:val="24"/>
          <w:szCs w:val="24"/>
          <w:lang w:eastAsia="en-GB"/>
          <w14:ligatures w14:val="none"/>
        </w:rPr>
        <w:t>Shared learning with peers</w:t>
      </w:r>
      <w:r>
        <w:rPr>
          <w:rFonts w:eastAsia="Times New Roman"/>
          <w:sz w:val="24"/>
          <w:szCs w:val="24"/>
          <w:lang w:eastAsia="en-GB"/>
          <w14:ligatures w14:val="none"/>
        </w:rPr>
        <w:br/>
        <w:t>Connection to Communities of Practice and provider networks, where experiences are shared openly and learning is grounded in real care settings.</w:t>
      </w:r>
    </w:p>
    <w:p w14:paraId="61527C80" w14:textId="77777777" w:rsidR="008B13DE" w:rsidRDefault="008B13DE" w:rsidP="008B13DE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4"/>
          <w:szCs w:val="24"/>
          <w:lang w:eastAsia="en-GB"/>
          <w14:ligatures w14:val="none"/>
        </w:rPr>
      </w:pPr>
      <w:r>
        <w:rPr>
          <w:rFonts w:eastAsia="Times New Roman"/>
          <w:b/>
          <w:bCs/>
          <w:sz w:val="24"/>
          <w:szCs w:val="24"/>
          <w:lang w:eastAsia="en-GB"/>
          <w14:ligatures w14:val="none"/>
        </w:rPr>
        <w:lastRenderedPageBreak/>
        <w:t>Alignment with the wider system</w:t>
      </w:r>
      <w:r>
        <w:rPr>
          <w:rFonts w:eastAsia="Times New Roman"/>
          <w:sz w:val="24"/>
          <w:szCs w:val="24"/>
          <w:lang w:eastAsia="en-GB"/>
          <w14:ligatures w14:val="none"/>
        </w:rPr>
        <w:br/>
        <w:t>Confidence that assured solutions are selected with national standards and local system priorities in mind, helping systems fit with the wider health and care landscape over time.</w:t>
      </w:r>
    </w:p>
    <w:p w14:paraId="347F13AA" w14:textId="77777777" w:rsidR="008B13DE" w:rsidRDefault="008B13DE" w:rsidP="008B13DE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4"/>
          <w:szCs w:val="24"/>
          <w:lang w:eastAsia="en-GB"/>
          <w14:ligatures w14:val="none"/>
        </w:rPr>
      </w:pPr>
      <w:r>
        <w:rPr>
          <w:rFonts w:eastAsia="Times New Roman"/>
          <w:b/>
          <w:bCs/>
          <w:sz w:val="24"/>
          <w:szCs w:val="24"/>
          <w:lang w:eastAsia="en-GB"/>
          <w14:ligatures w14:val="none"/>
        </w:rPr>
        <w:t>A clear route for raising questions</w:t>
      </w:r>
      <w:r>
        <w:rPr>
          <w:rFonts w:eastAsia="Times New Roman"/>
          <w:sz w:val="24"/>
          <w:szCs w:val="24"/>
          <w:lang w:eastAsia="en-GB"/>
          <w14:ligatures w14:val="none"/>
        </w:rPr>
        <w:br/>
        <w:t>Knowing where to go for advice or to raise concerns, and how these can be considered collectively where appropriate.</w:t>
      </w:r>
    </w:p>
    <w:p w14:paraId="0A224072" w14:textId="77777777" w:rsidR="008B13DE" w:rsidRDefault="008B13DE" w:rsidP="008B13DE">
      <w:pPr>
        <w:jc w:val="center"/>
        <w:rPr>
          <w:rFonts w:eastAsia="Times New Roman"/>
          <w:sz w:val="24"/>
          <w:szCs w:val="24"/>
          <w:lang w:eastAsia="en-GB"/>
          <w14:ligatures w14:val="none"/>
        </w:rPr>
      </w:pPr>
      <w:r>
        <w:rPr>
          <w:rFonts w:eastAsia="Times New Roman"/>
          <w:sz w:val="24"/>
          <w:szCs w:val="24"/>
          <w:lang w:eastAsia="en-GB"/>
          <w14:ligatures w14:val="none"/>
        </w:rPr>
        <w:pict w14:anchorId="111EC9AD">
          <v:rect id="_x0000_i1026" style="width:468pt;height:1.2pt" o:hralign="center" o:hrstd="t" o:hr="t" fillcolor="#a0a0a0" stroked="f"/>
        </w:pict>
      </w:r>
    </w:p>
    <w:p w14:paraId="5F0F072A" w14:textId="77777777" w:rsidR="008B13DE" w:rsidRDefault="008B13DE" w:rsidP="008B13DE">
      <w:pPr>
        <w:spacing w:before="100" w:beforeAutospacing="1" w:after="100" w:afterAutospacing="1"/>
        <w:rPr>
          <w:b/>
          <w:bCs/>
          <w:sz w:val="27"/>
          <w:szCs w:val="27"/>
          <w:lang w:eastAsia="en-GB"/>
          <w14:ligatures w14:val="none"/>
        </w:rPr>
      </w:pPr>
      <w:r>
        <w:rPr>
          <w:b/>
          <w:bCs/>
          <w:sz w:val="27"/>
          <w:szCs w:val="27"/>
          <w:lang w:eastAsia="en-GB"/>
          <w14:ligatures w14:val="none"/>
        </w:rPr>
        <w:t>Supporting confident choices</w:t>
      </w:r>
    </w:p>
    <w:p w14:paraId="5E92C779" w14:textId="77777777" w:rsidR="008B13DE" w:rsidRDefault="008B13DE" w:rsidP="008B13DE">
      <w:pPr>
        <w:spacing w:before="100" w:beforeAutospacing="1" w:after="100" w:afterAutospacing="1"/>
        <w:rPr>
          <w:sz w:val="24"/>
          <w:szCs w:val="24"/>
          <w:lang w:eastAsia="en-GB"/>
          <w14:ligatures w14:val="none"/>
        </w:rPr>
      </w:pPr>
      <w:r>
        <w:rPr>
          <w:sz w:val="24"/>
          <w:szCs w:val="24"/>
          <w:lang w:eastAsia="en-GB"/>
          <w14:ligatures w14:val="none"/>
        </w:rPr>
        <w:t>Care providers are regularly approached by suppliers offering new ideas and digital solutions. The assured supplier pathway exists to support confident decision-making by bringing together assurance, guidance and shared learning in one place.</w:t>
      </w:r>
    </w:p>
    <w:p w14:paraId="3FFB5868" w14:textId="77777777" w:rsidR="008B13DE" w:rsidRDefault="008B13DE" w:rsidP="008B13DE">
      <w:pPr>
        <w:spacing w:before="100" w:beforeAutospacing="1" w:after="100" w:afterAutospacing="1"/>
        <w:rPr>
          <w:sz w:val="24"/>
          <w:szCs w:val="24"/>
          <w:lang w:eastAsia="en-GB"/>
          <w14:ligatures w14:val="none"/>
        </w:rPr>
      </w:pPr>
      <w:r>
        <w:rPr>
          <w:sz w:val="24"/>
          <w:szCs w:val="24"/>
          <w:lang w:eastAsia="en-GB"/>
          <w14:ligatures w14:val="none"/>
        </w:rPr>
        <w:t>Starting with an assured supplier helps ensure that choices are made with a clear understanding of what support is available, how systems fit locally, and how risks can be reduced over time.</w:t>
      </w:r>
    </w:p>
    <w:p w14:paraId="287B5364" w14:textId="77777777" w:rsidR="008B13DE" w:rsidRDefault="008B13DE" w:rsidP="008B13DE">
      <w:pPr>
        <w:jc w:val="center"/>
        <w:rPr>
          <w:rFonts w:eastAsia="Times New Roman"/>
          <w:sz w:val="24"/>
          <w:szCs w:val="24"/>
          <w:lang w:eastAsia="en-GB"/>
          <w14:ligatures w14:val="none"/>
        </w:rPr>
      </w:pPr>
      <w:r>
        <w:rPr>
          <w:rFonts w:eastAsia="Times New Roman"/>
          <w:sz w:val="24"/>
          <w:szCs w:val="24"/>
          <w:lang w:eastAsia="en-GB"/>
          <w14:ligatures w14:val="none"/>
        </w:rPr>
        <w:pict w14:anchorId="652BB74E">
          <v:rect id="_x0000_i1027" style="width:468pt;height:1.2pt" o:hralign="center" o:hrstd="t" o:hr="t" fillcolor="#a0a0a0" stroked="f"/>
        </w:pict>
      </w:r>
    </w:p>
    <w:p w14:paraId="1E3AF35B" w14:textId="77777777" w:rsidR="008B13DE" w:rsidRDefault="008B13DE" w:rsidP="008B13DE">
      <w:pPr>
        <w:spacing w:before="100" w:beforeAutospacing="1" w:after="100" w:afterAutospacing="1"/>
        <w:rPr>
          <w:b/>
          <w:bCs/>
          <w:sz w:val="27"/>
          <w:szCs w:val="27"/>
          <w:lang w:eastAsia="en-GB"/>
          <w14:ligatures w14:val="none"/>
        </w:rPr>
      </w:pPr>
      <w:r>
        <w:rPr>
          <w:b/>
          <w:bCs/>
          <w:sz w:val="27"/>
          <w:szCs w:val="27"/>
          <w:lang w:eastAsia="en-GB"/>
          <w14:ligatures w14:val="none"/>
        </w:rPr>
        <w:t>We’re here alongside you</w:t>
      </w:r>
    </w:p>
    <w:p w14:paraId="56969D3C" w14:textId="440ACE6E" w:rsidR="008B13DE" w:rsidRDefault="008B13DE" w:rsidP="008B13DE">
      <w:pPr>
        <w:spacing w:before="100" w:beforeAutospacing="1" w:after="100" w:afterAutospacing="1"/>
        <w:rPr>
          <w:sz w:val="24"/>
          <w:szCs w:val="24"/>
          <w:lang w:eastAsia="en-GB"/>
          <w14:ligatures w14:val="none"/>
        </w:rPr>
      </w:pPr>
      <w:r>
        <w:rPr>
          <w:sz w:val="24"/>
          <w:szCs w:val="24"/>
          <w:lang w:eastAsia="en-GB"/>
          <w14:ligatures w14:val="none"/>
        </w:rPr>
        <w:t xml:space="preserve">Whether you are reviewing an existing system, considering a change, or exploring digital options for the first time, NHS Integrated Care Board and Local Authority partners will continue to offer </w:t>
      </w:r>
      <w:r>
        <w:rPr>
          <w:b/>
          <w:bCs/>
          <w:sz w:val="24"/>
          <w:szCs w:val="24"/>
          <w:lang w:eastAsia="en-GB"/>
          <w14:ligatures w14:val="none"/>
        </w:rPr>
        <w:t>guidance, signposting and opportunities for shared learning</w:t>
      </w:r>
      <w:r>
        <w:rPr>
          <w:sz w:val="24"/>
          <w:szCs w:val="24"/>
          <w:lang w:eastAsia="en-GB"/>
          <w14:ligatures w14:val="none"/>
        </w:rPr>
        <w:t xml:space="preserve">, working with trusted partners such as </w:t>
      </w:r>
      <w:r>
        <w:rPr>
          <w:sz w:val="24"/>
          <w:szCs w:val="24"/>
          <w:lang w:eastAsia="en-GB"/>
          <w14:ligatures w14:val="none"/>
        </w:rPr>
        <w:t xml:space="preserve">the Suffolk Care Association, </w:t>
      </w:r>
      <w:r>
        <w:rPr>
          <w:sz w:val="24"/>
          <w:szCs w:val="24"/>
          <w:lang w:eastAsia="en-GB"/>
          <w14:ligatures w14:val="none"/>
        </w:rPr>
        <w:t>Care Development East</w:t>
      </w:r>
      <w:r>
        <w:rPr>
          <w:sz w:val="24"/>
          <w:szCs w:val="24"/>
          <w:lang w:eastAsia="en-GB"/>
          <w14:ligatures w14:val="none"/>
        </w:rPr>
        <w:t xml:space="preserve"> and HCPA</w:t>
      </w:r>
      <w:r>
        <w:rPr>
          <w:sz w:val="24"/>
          <w:szCs w:val="24"/>
          <w:lang w:eastAsia="en-GB"/>
          <w14:ligatures w14:val="none"/>
        </w:rPr>
        <w:t>.</w:t>
      </w:r>
    </w:p>
    <w:p w14:paraId="6B1AE2F5" w14:textId="77777777" w:rsidR="008B13DE" w:rsidRDefault="008B13DE" w:rsidP="008B13DE">
      <w:pPr>
        <w:spacing w:before="100" w:beforeAutospacing="1" w:after="100" w:afterAutospacing="1"/>
        <w:rPr>
          <w:sz w:val="24"/>
          <w:szCs w:val="24"/>
          <w:lang w:eastAsia="en-GB"/>
          <w14:ligatures w14:val="none"/>
        </w:rPr>
      </w:pPr>
      <w:r>
        <w:rPr>
          <w:sz w:val="24"/>
          <w:szCs w:val="24"/>
          <w:lang w:eastAsia="en-GB"/>
          <w14:ligatures w14:val="none"/>
        </w:rPr>
        <w:t xml:space="preserve">While the level of hands-on support may vary over time, the commitment to providing </w:t>
      </w:r>
      <w:r>
        <w:rPr>
          <w:b/>
          <w:bCs/>
          <w:sz w:val="24"/>
          <w:szCs w:val="24"/>
          <w:lang w:eastAsia="en-GB"/>
          <w14:ligatures w14:val="none"/>
        </w:rPr>
        <w:t>clear routes, trusted information and system coordination</w:t>
      </w:r>
      <w:r>
        <w:rPr>
          <w:sz w:val="24"/>
          <w:szCs w:val="24"/>
          <w:lang w:eastAsia="en-GB"/>
          <w14:ligatures w14:val="none"/>
        </w:rPr>
        <w:t xml:space="preserve"> remains.</w:t>
      </w:r>
    </w:p>
    <w:p w14:paraId="0181BAE2" w14:textId="77777777" w:rsidR="008B13DE" w:rsidRDefault="008B13DE" w:rsidP="008B13DE">
      <w:pPr>
        <w:jc w:val="center"/>
        <w:rPr>
          <w:rFonts w:eastAsia="Times New Roman"/>
          <w:sz w:val="24"/>
          <w:szCs w:val="24"/>
          <w:lang w:eastAsia="en-GB"/>
          <w14:ligatures w14:val="none"/>
        </w:rPr>
      </w:pPr>
      <w:r>
        <w:rPr>
          <w:rFonts w:eastAsia="Times New Roman"/>
          <w:sz w:val="24"/>
          <w:szCs w:val="24"/>
          <w:lang w:eastAsia="en-GB"/>
          <w14:ligatures w14:val="none"/>
        </w:rPr>
        <w:pict w14:anchorId="592413C9">
          <v:rect id="_x0000_i1028" style="width:468pt;height:1.2pt" o:hralign="center" o:hrstd="t" o:hr="t" fillcolor="#a0a0a0" stroked="f"/>
        </w:pict>
      </w:r>
    </w:p>
    <w:p w14:paraId="68EB168A" w14:textId="77777777" w:rsidR="008B13DE" w:rsidRDefault="008B13DE" w:rsidP="008B13DE">
      <w:pPr>
        <w:spacing w:before="100" w:beforeAutospacing="1" w:after="100" w:afterAutospacing="1"/>
        <w:rPr>
          <w:b/>
          <w:bCs/>
          <w:sz w:val="27"/>
          <w:szCs w:val="27"/>
          <w:lang w:eastAsia="en-GB"/>
          <w14:ligatures w14:val="none"/>
        </w:rPr>
      </w:pPr>
      <w:r>
        <w:rPr>
          <w:b/>
          <w:bCs/>
          <w:sz w:val="27"/>
          <w:szCs w:val="27"/>
          <w:lang w:eastAsia="en-GB"/>
          <w14:ligatures w14:val="none"/>
        </w:rPr>
        <w:t>The bottom line</w:t>
      </w:r>
    </w:p>
    <w:p w14:paraId="1DCC8CF2" w14:textId="77777777" w:rsidR="008B13DE" w:rsidRDefault="008B13DE" w:rsidP="008B13DE">
      <w:pPr>
        <w:spacing w:before="100" w:beforeAutospacing="1" w:after="100" w:afterAutospacing="1"/>
        <w:rPr>
          <w:sz w:val="24"/>
          <w:szCs w:val="24"/>
          <w:lang w:eastAsia="en-GB"/>
          <w14:ligatures w14:val="none"/>
        </w:rPr>
      </w:pPr>
      <w:r>
        <w:rPr>
          <w:sz w:val="24"/>
          <w:szCs w:val="24"/>
          <w:lang w:eastAsia="en-GB"/>
          <w14:ligatures w14:val="none"/>
        </w:rPr>
        <w:t>Choosing an assured supplier isn’t about ticking a box.</w:t>
      </w:r>
      <w:r>
        <w:rPr>
          <w:sz w:val="24"/>
          <w:szCs w:val="24"/>
          <w:lang w:eastAsia="en-GB"/>
          <w14:ligatures w14:val="none"/>
        </w:rPr>
        <w:br/>
        <w:t xml:space="preserve">It’s about choosing a solution </w:t>
      </w:r>
      <w:r>
        <w:rPr>
          <w:b/>
          <w:bCs/>
          <w:sz w:val="24"/>
          <w:szCs w:val="24"/>
          <w:lang w:eastAsia="en-GB"/>
          <w14:ligatures w14:val="none"/>
        </w:rPr>
        <w:t>within a supportive system</w:t>
      </w:r>
      <w:r>
        <w:rPr>
          <w:sz w:val="24"/>
          <w:szCs w:val="24"/>
          <w:lang w:eastAsia="en-GB"/>
          <w14:ligatures w14:val="none"/>
        </w:rPr>
        <w:t>, so you can focus less on navigating technology and more on what matters most: delivering great care.</w:t>
      </w:r>
    </w:p>
    <w:p w14:paraId="4B47D291" w14:textId="77777777" w:rsidR="008B13DE" w:rsidRDefault="008B13DE" w:rsidP="008B13DE">
      <w:pPr>
        <w:spacing w:before="100" w:beforeAutospacing="1" w:after="100" w:afterAutospacing="1"/>
        <w:rPr>
          <w:sz w:val="24"/>
          <w:szCs w:val="24"/>
          <w:lang w:eastAsia="en-GB"/>
          <w14:ligatures w14:val="none"/>
        </w:rPr>
      </w:pPr>
      <w:r>
        <w:rPr>
          <w:sz w:val="24"/>
          <w:szCs w:val="24"/>
          <w:lang w:eastAsia="en-GB"/>
          <w14:ligatures w14:val="none"/>
        </w:rPr>
        <w:t>If you’d like to talk through options, understand the assured supplier route, or connect with others on a similar journey, support routes are available and will continue to be shared through local provider networks.</w:t>
      </w:r>
    </w:p>
    <w:p w14:paraId="6B5AC020" w14:textId="6D9E3922" w:rsidR="007E7916" w:rsidRDefault="008B13DE" w:rsidP="008B13DE">
      <w:pPr>
        <w:spacing w:before="100" w:beforeAutospacing="1" w:after="100" w:afterAutospacing="1"/>
      </w:pPr>
      <w:r>
        <w:rPr>
          <w:sz w:val="24"/>
          <w:szCs w:val="24"/>
          <w:lang w:eastAsia="en-GB"/>
          <w14:ligatures w14:val="none"/>
        </w:rPr>
        <w:t xml:space="preserve">Contact: </w:t>
      </w:r>
      <w:hyperlink r:id="rId7" w:history="1">
        <w:r>
          <w:rPr>
            <w:rStyle w:val="Hyperlink"/>
            <w:sz w:val="24"/>
            <w:szCs w:val="24"/>
            <w:lang w:eastAsia="en-GB"/>
            <w14:ligatures w14:val="none"/>
          </w:rPr>
          <w:t>Georgina.trimble@snee.nhs.uk</w:t>
        </w:r>
      </w:hyperlink>
      <w:r>
        <w:rPr>
          <w:sz w:val="24"/>
          <w:szCs w:val="24"/>
          <w:lang w:eastAsia="en-GB"/>
          <w14:ligatures w14:val="none"/>
        </w:rPr>
        <w:t xml:space="preserve"> </w:t>
      </w:r>
    </w:p>
    <w:sectPr w:rsidR="007E79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2B1257"/>
    <w:multiLevelType w:val="multilevel"/>
    <w:tmpl w:val="AC946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746927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3DE"/>
    <w:rsid w:val="000331C2"/>
    <w:rsid w:val="000E6167"/>
    <w:rsid w:val="001A10BC"/>
    <w:rsid w:val="007E7916"/>
    <w:rsid w:val="008B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36E85"/>
  <w15:chartTrackingRefBased/>
  <w15:docId w15:val="{2F69C8FF-B0C7-4B50-85CB-C529A93AB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3DE"/>
    <w:pPr>
      <w:spacing w:after="0" w:line="240" w:lineRule="auto"/>
    </w:pPr>
    <w:rPr>
      <w:rFonts w:ascii="Aptos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13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13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13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13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13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13D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13D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13D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13D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13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13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13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13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13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13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13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13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13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13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13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13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13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13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13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13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13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13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13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13D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B13DE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13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eorgina.trimble@snee.nhs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eta.digitisingsocialcare.co.uk/assured-solutions" TargetMode="External"/><Relationship Id="rId5" Type="http://schemas.openxmlformats.org/officeDocument/2006/relationships/hyperlink" Target="https://beta.digitisingsocialcare.co.uk/assured-solution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618</Words>
  <Characters>3547</Characters>
  <Application>Microsoft Office Word</Application>
  <DocSecurity>0</DocSecurity>
  <Lines>73</Lines>
  <Paragraphs>32</Paragraphs>
  <ScaleCrop>false</ScaleCrop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Irving, Julie (SNEE ICS)</dc:creator>
  <cp:keywords/>
  <dc:description/>
  <cp:lastModifiedBy>Irving, Julie (SNEE ICS)</cp:lastModifiedBy>
  <cp:revision>1</cp:revision>
  <dcterms:created xsi:type="dcterms:W3CDTF">2026-01-30T12:37:00Z</dcterms:created>
  <dcterms:modified xsi:type="dcterms:W3CDTF">2026-01-30T12:44:00Z</dcterms:modified>
</cp:coreProperties>
</file>